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0449C" w14:textId="77777777" w:rsidR="007C6C49" w:rsidRDefault="00301AB9">
      <w:pPr>
        <w:pStyle w:val="Body"/>
      </w:pPr>
      <w:r>
        <w:rPr>
          <w:noProof/>
        </w:rPr>
        <mc:AlternateContent>
          <mc:Choice Requires="wps">
            <w:drawing>
              <wp:anchor distT="0" distB="0" distL="0" distR="0" simplePos="0" relativeHeight="251661312" behindDoc="0" locked="0" layoutInCell="1" allowOverlap="1" wp14:anchorId="09D3E066" wp14:editId="3FD11A40">
                <wp:simplePos x="0" y="0"/>
                <wp:positionH relativeFrom="column">
                  <wp:posOffset>1373505</wp:posOffset>
                </wp:positionH>
                <wp:positionV relativeFrom="line">
                  <wp:posOffset>228600</wp:posOffset>
                </wp:positionV>
                <wp:extent cx="5448300" cy="3429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448300" cy="342900"/>
                        </a:xfrm>
                        <a:prstGeom prst="rect">
                          <a:avLst/>
                        </a:prstGeom>
                        <a:noFill/>
                        <a:ln w="12700" cap="flat">
                          <a:noFill/>
                          <a:miter lim="400000"/>
                        </a:ln>
                        <a:effectLst/>
                      </wps:spPr>
                      <wps:txbx>
                        <w:txbxContent>
                          <w:p w14:paraId="42290B46" w14:textId="77777777" w:rsidR="007C6C49" w:rsidRPr="00872122" w:rsidRDefault="00301AB9">
                            <w:pPr>
                              <w:pStyle w:val="Body"/>
                            </w:pPr>
                            <w:r w:rsidRPr="00872122">
                              <w:rPr>
                                <w:rFonts w:ascii="Arial" w:hAnsi="Arial"/>
                                <w:b/>
                              </w:rPr>
                              <w:t>CONDADO DE ORANGE – AGENCIA DEL CUIDADO DE LA SALUD (HCA)</w:t>
                            </w:r>
                          </w:p>
                        </w:txbxContent>
                      </wps:txbx>
                      <wps:bodyPr wrap="square" lIns="45719" tIns="45719" rIns="45719" bIns="45719" numCol="1" anchor="t">
                        <a:noAutofit/>
                      </wps:bodyPr>
                    </wps:wsp>
                  </a:graphicData>
                </a:graphic>
                <wp14:sizeRelH relativeFrom="margin">
                  <wp14:pctWidth>0</wp14:pctWidth>
                </wp14:sizeRelH>
              </wp:anchor>
            </w:drawing>
          </mc:Choice>
          <mc:Fallback>
            <w:pict>
              <v:rect w14:anchorId="09D3E066" id="officeArt object" o:spid="_x0000_s1026" style="position:absolute;margin-left:108.15pt;margin-top:18pt;width:429pt;height:27pt;z-index:251661312;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dJugEAAHADAAAOAAAAZHJzL2Uyb0RvYy54bWysU9tu4yAQfa+0/4B4b+yk7s2KU1Vbtaq0&#10;aiu1+wEEQ4wEDAUSO3+/A3ETq/u2Wj/gGTOcmXM4Xt4NRpOd8EGBbeh8VlIiLIdW2U1Df388nt9Q&#10;EiKzLdNgRUP3ItC71Y+zZe9qsYAOdCs8QRAb6t41tIvR1UUReCcMCzNwwuKmBG9YxNRvitazHtGN&#10;LhZleVX04FvngYsQ8OvDYZOuMr6UgsdXKYOIRDcUZ4t59Xldp7VYLVm98cx1io9jsH+YwjBlsekR&#10;6oFFRrZe/QVlFPcQQMYZB1OAlIqLzAHZzMtvbN475kTmguIEd5Qp/D9Y/rJ7d28eZehdqAOGicUg&#10;vUlvnI8MWaz9USwxRMLx42VV3VyUqCnHvYtqcYsxwhSn086H+CTAkBQ01ONlZI3Y7leIh9KvktTM&#10;wqPSOl+ItqRHNy2uMz5DX0jNDocnVUZF9I5WpqFVmZ6xv7YJTuTbHzudyKUoDuthZLyGdv/mSY8O&#10;aGj43DIvKNHPFiWuLq/nt2iZaeKnyXqa2K35CWiyOSXM8g7QY18D328jSJUZp+6HlqhUSvBas2aj&#10;BZNvpnmuOv0oqz8AAAD//wMAUEsDBBQABgAIAAAAIQAxcHQS3QAAAAoBAAAPAAAAZHJzL2Rvd25y&#10;ZXYueG1sTI/LTsMwEEX3SPyDNUjsqJ2kpE2IUyFE2bCi8AFuPMQBP6LYacPfM13BcmaO7pzb7BZn&#10;2QmnOAQvIVsJYOi7oAffS/h4399tgcWkvFY2eJTwgxF27fVVo2odzv4NT4fUMwrxsVYSTEpjzXns&#10;DDoVV2FET7fPMDmVaJx6rid1pnBneS5EyZ0aPH0wasQng933YXYSePZa2MrNVb6Y+blYi/uv/cso&#10;5e3N8vgALOGS/mC46JM6tOR0DLPXkVkJeVYWhEooSup0AcRmTZujhEoI4G3D/1dofwEAAP//AwBQ&#10;SwECLQAUAAYACAAAACEAtoM4kv4AAADhAQAAEwAAAAAAAAAAAAAAAAAAAAAAW0NvbnRlbnRfVHlw&#10;ZXNdLnhtbFBLAQItABQABgAIAAAAIQA4/SH/1gAAAJQBAAALAAAAAAAAAAAAAAAAAC8BAABfcmVs&#10;cy8ucmVsc1BLAQItABQABgAIAAAAIQAVO7dJugEAAHADAAAOAAAAAAAAAAAAAAAAAC4CAABkcnMv&#10;ZTJvRG9jLnhtbFBLAQItABQABgAIAAAAIQAxcHQS3QAAAAoBAAAPAAAAAAAAAAAAAAAAABQEAABk&#10;cnMvZG93bnJldi54bWxQSwUGAAAAAAQABADzAAAAHgUAAAAA&#10;" filled="f" stroked="f" strokeweight="1pt">
                <v:stroke miterlimit="4"/>
                <v:textbox inset="1.27mm,1.27mm,1.27mm,1.27mm">
                  <w:txbxContent>
                    <w:p w14:paraId="42290B46" w14:textId="77777777" w:rsidR="007C6C49" w:rsidRPr="00872122" w:rsidRDefault="00301AB9">
                      <w:pPr>
                        <w:pStyle w:val="Body"/>
                      </w:pPr>
                      <w:r w:rsidRPr="00872122">
                        <w:rPr>
                          <w:rFonts w:ascii="Arial" w:hAnsi="Arial"/>
                          <w:b/>
                        </w:rPr>
                        <w:t>CONDADO DE ORANGE – AGENCIA DEL CUIDADO DE LA SALUD (HCA)</w:t>
                      </w:r>
                    </w:p>
                  </w:txbxContent>
                </v:textbox>
                <w10:wrap anchory="line"/>
              </v:rect>
            </w:pict>
          </mc:Fallback>
        </mc:AlternateContent>
      </w:r>
      <w:r>
        <w:rPr>
          <w:noProof/>
        </w:rPr>
        <mc:AlternateContent>
          <mc:Choice Requires="wps">
            <w:drawing>
              <wp:anchor distT="0" distB="0" distL="0" distR="0" simplePos="0" relativeHeight="251660288" behindDoc="0" locked="0" layoutInCell="1" allowOverlap="1" wp14:anchorId="5E662AF9" wp14:editId="108B8DB8">
                <wp:simplePos x="0" y="0"/>
                <wp:positionH relativeFrom="column">
                  <wp:posOffset>1371600</wp:posOffset>
                </wp:positionH>
                <wp:positionV relativeFrom="line">
                  <wp:posOffset>457200</wp:posOffset>
                </wp:positionV>
                <wp:extent cx="5715000" cy="6858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715000" cy="685800"/>
                        </a:xfrm>
                        <a:prstGeom prst="rect">
                          <a:avLst/>
                        </a:prstGeom>
                        <a:noFill/>
                        <a:ln w="12700" cap="flat">
                          <a:noFill/>
                          <a:miter lim="400000"/>
                        </a:ln>
                        <a:effectLst/>
                      </wps:spPr>
                      <wps:txbx>
                        <w:txbxContent>
                          <w:p w14:paraId="5C4A9874" w14:textId="77777777" w:rsidR="007C6C49" w:rsidRPr="00872122" w:rsidRDefault="00301AB9">
                            <w:pPr>
                              <w:pStyle w:val="Body"/>
                              <w:rPr>
                                <w:sz w:val="64"/>
                                <w:szCs w:val="64"/>
                              </w:rPr>
                            </w:pPr>
                            <w:r w:rsidRPr="00872122">
                              <w:rPr>
                                <w:rFonts w:ascii="Arial" w:hAnsi="Arial"/>
                                <w:b/>
                                <w:sz w:val="64"/>
                                <w:szCs w:val="64"/>
                              </w:rPr>
                              <w:t>COMUNICADO DE PRENSA</w:t>
                            </w:r>
                          </w:p>
                        </w:txbxContent>
                      </wps:txbx>
                      <wps:bodyPr wrap="square" lIns="45719" tIns="45719" rIns="45719" bIns="45719" numCol="1" anchor="t">
                        <a:noAutofit/>
                      </wps:bodyPr>
                    </wps:wsp>
                  </a:graphicData>
                </a:graphic>
              </wp:anchor>
            </w:drawing>
          </mc:Choice>
          <mc:Fallback>
            <w:pict>
              <v:rect w14:anchorId="5E662AF9" id="_x0000_s1027" style="position:absolute;margin-left:108pt;margin-top:36pt;width:450pt;height:54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xIvAEAAHcDAAAOAAAAZHJzL2Uyb0RvYy54bWysU8tu2zAQvBfoPxC815KNOHEFy0HRIEWB&#10;og2Q5ANoirQIkFx2SVvy33dJO7bQ3oJeqF0+ZndmR+v70Vl2UBgN+JbPZzVnykvojN+1/PXl8dOK&#10;s5iE74QFr1p+VJHfbz5+WA+hUQvowXYKGYH42Ayh5X1KoamqKHvlRJxBUJ4ONaATiVLcVR2KgdCd&#10;rRZ1fVsNgF1AkCpG2n04HfJNwddayfRL66gSsy2n3lJZsazbvFabtWh2KEJv5LkN8Y4unDCeil6g&#10;HkQSbI/mHyhnJEIEnWYSXAVaG6kKB2Izr/9i89yLoAoXEieGi0zx/8HKn4fn8IQkwxBiEynMLEaN&#10;Ln+pPzYWsY4XsdSYmKTN5d18WdekqaSz29VyRTHBVNfXAWP6psCxHLQcaRhFI3H4EdPp6tuVXMzD&#10;o7G2DMR6NpCbFncFX5AvtBWnx5NbziTyjjWu5TfUyaW+9RlOlemfK13J5SiN25GZjirkjvPOFrrj&#10;E7KBjNDy+HsvUHFmv3tS+oaIfibnTBOcJttp4vfuK5DX5pwJL3sgq731/WWfQJtC/FqSBMsJTbdI&#10;d3Zits80L7eu/8vmDwAAAP//AwBQSwMEFAAGAAgAAAAhAL952CfdAAAACwEAAA8AAABkcnMvZG93&#10;bnJldi54bWxMj01OwzAQhfdI3MEaJHbUTgqlTeNUCFE2rCgcwI2ncSAeR7HThtszZUNX8/f05nvl&#10;ZvKdOOIQ20AaspkCgVQH21Kj4fNje7cEEZMha7pAqOEHI2yq66vSFDac6B2Pu9QINqFYGA0upb6Q&#10;MtYOvYmz0CPx7RAGbxKPQyPtYE5s7juZK7WQ3rTEH5zp8dlh/b0bvQaZvc27lR9X+eTGl/m9evja&#10;vvZa395MT2sQCaf0L4YzPqNDxUz7MJKNotOQZwvOkjQ85lzPguxvs+duqRTIqpSXGapfAAAA//8D&#10;AFBLAQItABQABgAIAAAAIQC2gziS/gAAAOEBAAATAAAAAAAAAAAAAAAAAAAAAABbQ29udGVudF9U&#10;eXBlc10ueG1sUEsBAi0AFAAGAAgAAAAhADj9If/WAAAAlAEAAAsAAAAAAAAAAAAAAAAALwEAAF9y&#10;ZWxzLy5yZWxzUEsBAi0AFAAGAAgAAAAhAN2wHEi8AQAAdwMAAA4AAAAAAAAAAAAAAAAALgIAAGRy&#10;cy9lMm9Eb2MueG1sUEsBAi0AFAAGAAgAAAAhAL952CfdAAAACwEAAA8AAAAAAAAAAAAAAAAAFgQA&#10;AGRycy9kb3ducmV2LnhtbFBLBQYAAAAABAAEAPMAAAAgBQAAAAA=&#10;" filled="f" stroked="f" strokeweight="1pt">
                <v:stroke miterlimit="4"/>
                <v:textbox inset="1.27mm,1.27mm,1.27mm,1.27mm">
                  <w:txbxContent>
                    <w:p w14:paraId="5C4A9874" w14:textId="77777777" w:rsidR="007C6C49" w:rsidRPr="00872122" w:rsidRDefault="00301AB9">
                      <w:pPr>
                        <w:pStyle w:val="Body"/>
                        <w:rPr>
                          <w:sz w:val="64"/>
                          <w:szCs w:val="64"/>
                        </w:rPr>
                      </w:pPr>
                      <w:r w:rsidRPr="00872122">
                        <w:rPr>
                          <w:rFonts w:ascii="Arial" w:hAnsi="Arial"/>
                          <w:b/>
                          <w:sz w:val="64"/>
                          <w:szCs w:val="64"/>
                        </w:rPr>
                        <w:t>COMUNICADO DE PRENSA</w:t>
                      </w:r>
                    </w:p>
                  </w:txbxContent>
                </v:textbox>
                <w10:wrap anchory="line"/>
              </v:rect>
            </w:pict>
          </mc:Fallback>
        </mc:AlternateContent>
      </w:r>
      <w:r>
        <w:rPr>
          <w:noProof/>
        </w:rPr>
        <w:drawing>
          <wp:inline distT="0" distB="0" distL="0" distR="0" wp14:anchorId="54C8779A" wp14:editId="29A12BC8">
            <wp:extent cx="1292850" cy="1077221"/>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A_County_hybrid_logo-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0853" cy="1100553"/>
                    </a:xfrm>
                    <a:prstGeom prst="rect">
                      <a:avLst/>
                    </a:prstGeom>
                  </pic:spPr>
                </pic:pic>
              </a:graphicData>
            </a:graphic>
          </wp:inline>
        </w:drawing>
      </w:r>
    </w:p>
    <w:p w14:paraId="5C14ED50" w14:textId="68650982" w:rsidR="007C6C49" w:rsidRDefault="00872122">
      <w:pPr>
        <w:pStyle w:val="Body"/>
      </w:pPr>
      <w:r>
        <w:t>Agencia del Cuidado de la Salud del Condado de Orange</w:t>
      </w:r>
    </w:p>
    <w:p w14:paraId="29E0EB55" w14:textId="77777777" w:rsidR="007C6C49" w:rsidRDefault="00301AB9">
      <w:pPr>
        <w:pStyle w:val="Body"/>
      </w:pPr>
      <w:r>
        <w:rPr>
          <w:noProof/>
        </w:rPr>
        <mc:AlternateContent>
          <mc:Choice Requires="wps">
            <w:drawing>
              <wp:anchor distT="0" distB="0" distL="0" distR="0" simplePos="0" relativeHeight="251659264" behindDoc="0" locked="0" layoutInCell="1" allowOverlap="1" wp14:anchorId="27197385" wp14:editId="16718352">
                <wp:simplePos x="0" y="0"/>
                <wp:positionH relativeFrom="column">
                  <wp:posOffset>50800</wp:posOffset>
                </wp:positionH>
                <wp:positionV relativeFrom="line">
                  <wp:posOffset>26034</wp:posOffset>
                </wp:positionV>
                <wp:extent cx="7086600"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7086600" cy="0"/>
                        </a:xfrm>
                        <a:prstGeom prst="line">
                          <a:avLst/>
                        </a:prstGeom>
                        <a:noFill/>
                        <a:ln w="101600" cap="flat">
                          <a:solidFill>
                            <a:srgbClr val="17375E"/>
                          </a:solidFill>
                          <a:prstDash val="solid"/>
                          <a:round/>
                        </a:ln>
                        <a:effectLst/>
                      </wps:spPr>
                      <wps:bodyPr/>
                    </wps:wsp>
                  </a:graphicData>
                </a:graphic>
              </wp:anchor>
            </w:drawing>
          </mc:Choice>
          <mc:Fallback>
            <w:pict>
              <v:line w14:anchorId="5D4B5508" id="officeArt object"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line" from="4pt,2.05pt" to="5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XalQEAACQDAAAOAAAAZHJzL2Uyb0RvYy54bWysUs1u2zAMvg/YOwi6L3I6LCmMOD006y7D&#10;VmDrAzCyFAuQJYFU4+TtR8lp2m23YRdK/PtIfuTm7jR6cTRILoZOLheNFCbo2Ltw6OTTz4cPt1JQ&#10;htCDj8F08mxI3m3fv9tMqTU3cYi+NygYJFA7pU4OOadWKdKDGYEWMZnAThtxhMwqHlSPMDH66NVN&#10;06zUFLFPGLUhYutudsptxbfW6PzdWjJZ+E5yb7lKrHJfpNpuoD0gpMHpSxvwD12M4AIXvULtIIN4&#10;RvcX1Og0Roo2L3QcVbTWaVNn4GmWzR/T/BggmToLk0PpShP9P1j97XgfHpFpmBK1lB6xTHGyOJaX&#10;+xOnStb5SpY5ZaHZuG5uV6uGOdUvPvWamJDyFxNHUT6d9C6UOaCF41fKXIxDX0KKOcQH533dhQ9i&#10;4kNqljM28E1YD7lmU/SuL5Elh/Cwv/cojsCrXa4/rj99Lttk5N/CSpkd0DDHVde8dIzPoZ8TfCiA&#10;pp7Lpb9XNspvH/tzJUkVjVdR61zOpuz6rc7/t8e9/QUAAP//AwBQSwMEFAAGAAgAAAAhAOxyG/rZ&#10;AAAABgEAAA8AAABkcnMvZG93bnJldi54bWxMj81OwzAQhO9IvIO1SNyok1BQFeJUKPzcaThwdOMl&#10;ibDXaeymyduz5UKPM7Oa+bbYzs6KCcfQe1KQrhIQSI03PbUKPuu3uw2IEDUZbT2hggUDbMvrq0Ln&#10;xp/oA6ddbAWXUMi1gi7GIZcyNB06HVZ+QOLs249OR5ZjK82oT1zurMyS5FE63RMvdHrAqsPmZ3d0&#10;Ctqprg7V8v5QZbavl9ev2h/uX5S6vZmfn0BEnOP/MZzxGR1KZtr7I5kgrIINfxIVrFMQ5zTN1mzs&#10;/wxZFvISv/wFAAD//wMAUEsBAi0AFAAGAAgAAAAhALaDOJL+AAAA4QEAABMAAAAAAAAAAAAAAAAA&#10;AAAAAFtDb250ZW50X1R5cGVzXS54bWxQSwECLQAUAAYACAAAACEAOP0h/9YAAACUAQAACwAAAAAA&#10;AAAAAAAAAAAvAQAAX3JlbHMvLnJlbHNQSwECLQAUAAYACAAAACEAKTwV2pUBAAAkAwAADgAAAAAA&#10;AAAAAAAAAAAuAgAAZHJzL2Uyb0RvYy54bWxQSwECLQAUAAYACAAAACEA7HIb+tkAAAAGAQAADwAA&#10;AAAAAAAAAAAAAADvAwAAZHJzL2Rvd25yZXYueG1sUEsFBgAAAAAEAAQA8wAAAPUEAAAAAA==&#10;" strokecolor="#17375e" strokeweight="8pt">
                <w10:wrap anchory="line"/>
              </v:line>
            </w:pict>
          </mc:Fallback>
        </mc:AlternateContent>
      </w:r>
    </w:p>
    <w:p w14:paraId="34B0EA7B" w14:textId="7DCA5DEE" w:rsidR="007C6C49" w:rsidRDefault="00301AB9">
      <w:pPr>
        <w:pStyle w:val="Body"/>
        <w:ind w:left="180"/>
        <w:rPr>
          <w:rFonts w:ascii="Arial" w:eastAsia="Arial" w:hAnsi="Arial" w:cs="Arial"/>
        </w:rPr>
      </w:pPr>
      <w:r>
        <w:rPr>
          <w:rFonts w:ascii="Arial" w:hAnsi="Arial"/>
          <w:b/>
        </w:rPr>
        <w:t>Para publicación inmediata:</w:t>
      </w:r>
      <w:r>
        <w:rPr>
          <w:rFonts w:ascii="Arial" w:hAnsi="Arial"/>
          <w:b/>
        </w:rPr>
        <w:tab/>
        <w:t xml:space="preserve"> </w:t>
      </w:r>
      <w:r>
        <w:rPr>
          <w:rFonts w:ascii="Arial" w:hAnsi="Arial"/>
        </w:rPr>
        <w:t>3 de mayo de 2024</w:t>
      </w:r>
      <w:r>
        <w:rPr>
          <w:rFonts w:ascii="Arial" w:hAnsi="Arial"/>
        </w:rPr>
        <w:tab/>
      </w:r>
      <w:r w:rsidR="00872122">
        <w:rPr>
          <w:rFonts w:ascii="Arial" w:hAnsi="Arial"/>
        </w:rPr>
        <w:tab/>
      </w:r>
      <w:r>
        <w:rPr>
          <w:rFonts w:ascii="Arial" w:hAnsi="Arial"/>
          <w:b/>
        </w:rPr>
        <w:t>Contacto:</w:t>
      </w:r>
      <w:r w:rsidR="00856E7C">
        <w:rPr>
          <w:rFonts w:ascii="Arial" w:hAnsi="Arial"/>
          <w:b/>
        </w:rPr>
        <w:t xml:space="preserve"> </w:t>
      </w:r>
      <w:r w:rsidR="00872122">
        <w:rPr>
          <w:rFonts w:ascii="Arial" w:hAnsi="Arial"/>
          <w:b/>
        </w:rPr>
        <w:tab/>
      </w:r>
      <w:proofErr w:type="spellStart"/>
      <w:r>
        <w:rPr>
          <w:rFonts w:ascii="Arial" w:hAnsi="Arial"/>
        </w:rPr>
        <w:t>Geniece</w:t>
      </w:r>
      <w:proofErr w:type="spellEnd"/>
      <w:r>
        <w:rPr>
          <w:rFonts w:ascii="Arial" w:hAnsi="Arial"/>
        </w:rPr>
        <w:t xml:space="preserve"> Higgins</w:t>
      </w:r>
    </w:p>
    <w:p w14:paraId="022038EB" w14:textId="4F3A9DFD" w:rsidR="007C6C49" w:rsidRDefault="0023398E">
      <w:pPr>
        <w:pStyle w:val="Body"/>
        <w:ind w:left="180"/>
        <w:rPr>
          <w:rFonts w:ascii="Arial" w:eastAsia="Arial" w:hAnsi="Arial" w:cs="Arial"/>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rPr>
        <w:t>(714) 433-6260</w:t>
      </w:r>
    </w:p>
    <w:p w14:paraId="293446BF" w14:textId="265F558E" w:rsidR="007C6C49" w:rsidRDefault="00301AB9">
      <w:pPr>
        <w:pStyle w:val="Body"/>
        <w:ind w:left="180"/>
        <w:rPr>
          <w:rFonts w:ascii="Arial" w:eastAsia="Arial" w:hAnsi="Arial" w:cs="Arial"/>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rPr>
        <w:t>ghiggins@ochca.com</w:t>
      </w:r>
    </w:p>
    <w:p w14:paraId="558AC9C8" w14:textId="77777777" w:rsidR="007C6C49" w:rsidRDefault="007C6C49">
      <w:pPr>
        <w:pStyle w:val="Body"/>
        <w:ind w:left="180"/>
        <w:rPr>
          <w:rFonts w:ascii="Arial" w:eastAsia="Arial" w:hAnsi="Arial" w:cs="Arial"/>
          <w:b/>
          <w:bCs/>
        </w:rPr>
      </w:pPr>
    </w:p>
    <w:p w14:paraId="72FE788C" w14:textId="2DD4F85A" w:rsidR="007C1663" w:rsidRPr="007C1663" w:rsidRDefault="007C1663" w:rsidP="007C1663">
      <w:pPr>
        <w:jc w:val="center"/>
        <w:rPr>
          <w:rFonts w:ascii="Arial" w:hAnsi="Arial" w:cs="Arial"/>
          <w:b/>
          <w:sz w:val="28"/>
          <w:szCs w:val="28"/>
        </w:rPr>
      </w:pPr>
      <w:r>
        <w:rPr>
          <w:rFonts w:ascii="Arial" w:hAnsi="Arial"/>
          <w:b/>
          <w:sz w:val="28"/>
        </w:rPr>
        <w:t xml:space="preserve">Tricloroetileno y </w:t>
      </w:r>
      <w:proofErr w:type="spellStart"/>
      <w:r>
        <w:rPr>
          <w:rFonts w:ascii="Arial" w:hAnsi="Arial"/>
          <w:b/>
          <w:sz w:val="28"/>
        </w:rPr>
        <w:t>tetracloroetileno</w:t>
      </w:r>
      <w:proofErr w:type="spellEnd"/>
      <w:r>
        <w:rPr>
          <w:rFonts w:ascii="Arial" w:hAnsi="Arial"/>
          <w:b/>
          <w:sz w:val="28"/>
        </w:rPr>
        <w:t xml:space="preserve"> detectados en muestras de aire en interiores</w:t>
      </w:r>
    </w:p>
    <w:p w14:paraId="6C39D4AD" w14:textId="77777777" w:rsidR="002F412E" w:rsidRPr="00956C39" w:rsidRDefault="002F412E" w:rsidP="002F412E">
      <w:pPr>
        <w:ind w:left="180"/>
        <w:rPr>
          <w:rFonts w:ascii="Arial" w:hAnsi="Arial" w:cs="Arial"/>
        </w:rPr>
      </w:pPr>
    </w:p>
    <w:p w14:paraId="483101CB" w14:textId="46897390" w:rsidR="007C1663" w:rsidRPr="00872122" w:rsidRDefault="002F412E" w:rsidP="007C1663">
      <w:pPr>
        <w:rPr>
          <w:rFonts w:ascii="Arial" w:hAnsi="Arial" w:cs="Arial"/>
          <w:sz w:val="22"/>
          <w:szCs w:val="22"/>
        </w:rPr>
      </w:pPr>
      <w:r w:rsidRPr="00872122">
        <w:rPr>
          <w:rFonts w:ascii="Arial" w:hAnsi="Arial"/>
          <w:b/>
          <w:sz w:val="22"/>
          <w:szCs w:val="22"/>
        </w:rPr>
        <w:t>(Santa Ana, CA)</w:t>
      </w:r>
      <w:r w:rsidR="00856E7C">
        <w:rPr>
          <w:rFonts w:ascii="Arial" w:hAnsi="Arial"/>
          <w:b/>
          <w:sz w:val="22"/>
          <w:szCs w:val="22"/>
        </w:rPr>
        <w:t xml:space="preserve"> </w:t>
      </w:r>
      <w:r w:rsidRPr="00872122">
        <w:rPr>
          <w:rFonts w:ascii="Arial" w:hAnsi="Arial"/>
          <w:sz w:val="22"/>
          <w:szCs w:val="22"/>
        </w:rPr>
        <w:t>-</w:t>
      </w:r>
      <w:r w:rsidR="00856E7C">
        <w:rPr>
          <w:rFonts w:ascii="Arial" w:hAnsi="Arial"/>
          <w:sz w:val="22"/>
          <w:szCs w:val="22"/>
        </w:rPr>
        <w:t xml:space="preserve"> </w:t>
      </w:r>
      <w:r w:rsidRPr="00872122">
        <w:rPr>
          <w:rFonts w:ascii="Arial" w:hAnsi="Arial"/>
          <w:sz w:val="22"/>
          <w:szCs w:val="22"/>
        </w:rPr>
        <w:t xml:space="preserve">La información proporcionada a la Agencia del Cuidado de la Salud (HCA, por sus siglas en inglés) del Condado de Orange indica que se ha detectado </w:t>
      </w:r>
      <w:proofErr w:type="spellStart"/>
      <w:r w:rsidRPr="00872122">
        <w:rPr>
          <w:rFonts w:ascii="Arial" w:hAnsi="Arial"/>
          <w:sz w:val="22"/>
          <w:szCs w:val="22"/>
        </w:rPr>
        <w:t>tetracloroetileno</w:t>
      </w:r>
      <w:proofErr w:type="spellEnd"/>
      <w:r w:rsidRPr="00872122">
        <w:rPr>
          <w:rFonts w:ascii="Arial" w:hAnsi="Arial"/>
          <w:sz w:val="22"/>
          <w:szCs w:val="22"/>
        </w:rPr>
        <w:t xml:space="preserve"> en muestras de aire subterráneas y en interiores en 1002 E. 17</w:t>
      </w:r>
      <w:r w:rsidRPr="00872122">
        <w:rPr>
          <w:rFonts w:ascii="Arial" w:hAnsi="Arial"/>
          <w:sz w:val="22"/>
          <w:szCs w:val="22"/>
          <w:vertAlign w:val="superscript"/>
        </w:rPr>
        <w:t>th</w:t>
      </w:r>
      <w:r w:rsidRPr="00872122">
        <w:rPr>
          <w:rFonts w:ascii="Arial" w:hAnsi="Arial"/>
          <w:sz w:val="22"/>
          <w:szCs w:val="22"/>
        </w:rPr>
        <w:t xml:space="preserve"> Street, Suites A-R en la Ciudad de Santa Ana. Las tomas de muestra del suelo y los gases de las </w:t>
      </w:r>
      <w:proofErr w:type="spellStart"/>
      <w:r w:rsidRPr="00872122">
        <w:rPr>
          <w:rFonts w:ascii="Arial" w:hAnsi="Arial"/>
          <w:sz w:val="22"/>
          <w:szCs w:val="22"/>
        </w:rPr>
        <w:t>sublosas</w:t>
      </w:r>
      <w:proofErr w:type="spellEnd"/>
      <w:r w:rsidRPr="00872122">
        <w:rPr>
          <w:rFonts w:ascii="Arial" w:hAnsi="Arial"/>
          <w:sz w:val="22"/>
          <w:szCs w:val="22"/>
        </w:rPr>
        <w:t xml:space="preserve"> y del aire interior realizadas en noviembre y diciembre de 2023 por la parte responsable y notificado a la HCA indican la presencia de productos químicos que se consideran carcinógenos humanos y/o causan otros efectos tóxicos para los seres humanos.</w:t>
      </w:r>
    </w:p>
    <w:p w14:paraId="1B1E97F3" w14:textId="0AED91D7" w:rsidR="007C1663" w:rsidRPr="00872122" w:rsidRDefault="007C1663" w:rsidP="007C1663">
      <w:pPr>
        <w:rPr>
          <w:rFonts w:ascii="Arial" w:hAnsi="Arial" w:cs="Arial"/>
          <w:sz w:val="22"/>
          <w:szCs w:val="22"/>
        </w:rPr>
      </w:pPr>
      <w:r w:rsidRPr="00872122">
        <w:rPr>
          <w:rFonts w:ascii="Lato" w:hAnsi="Lato"/>
          <w:color w:val="556575"/>
          <w:sz w:val="22"/>
          <w:szCs w:val="22"/>
          <w:shd w:val="clear" w:color="auto" w:fill="FFFFFF"/>
        </w:rPr>
        <w:t> </w:t>
      </w:r>
      <w:r w:rsidRPr="00872122">
        <w:rPr>
          <w:rFonts w:ascii="Lato" w:hAnsi="Lato"/>
          <w:color w:val="556575"/>
          <w:sz w:val="22"/>
          <w:szCs w:val="22"/>
        </w:rPr>
        <w:br/>
      </w:r>
      <w:r w:rsidRPr="00872122">
        <w:rPr>
          <w:rFonts w:ascii="Arial" w:hAnsi="Arial"/>
          <w:sz w:val="22"/>
          <w:szCs w:val="22"/>
        </w:rPr>
        <w:t xml:space="preserve">Uno de los productos químicos encontrados, el </w:t>
      </w:r>
      <w:proofErr w:type="spellStart"/>
      <w:r w:rsidRPr="00872122">
        <w:rPr>
          <w:rFonts w:ascii="Arial" w:hAnsi="Arial"/>
          <w:sz w:val="22"/>
          <w:szCs w:val="22"/>
        </w:rPr>
        <w:t>tetracloroetileno</w:t>
      </w:r>
      <w:proofErr w:type="spellEnd"/>
      <w:r w:rsidRPr="00872122">
        <w:rPr>
          <w:rFonts w:ascii="Arial" w:hAnsi="Arial"/>
          <w:sz w:val="22"/>
          <w:szCs w:val="22"/>
        </w:rPr>
        <w:t xml:space="preserve"> (PCE o PERC), se utiliza principalmente como disolvente de limpieza en seco y desengrasante. La Agencia de Protección Ambiental de los Estados Unidos (USEPA, por sus siglas en inglés) ha identificado riesgos de cáncer y no cancerosos basados en la exposición al PCE. Los niveles de PCE detectados en el aire en interiores dentro de los edificios ubicados en esta dirección exceden los niveles de detección de exposición a largo y corto plazo de USEPA.</w:t>
      </w:r>
    </w:p>
    <w:p w14:paraId="7FB7F886" w14:textId="1BF5ACF4" w:rsidR="007C1663" w:rsidRPr="00872122" w:rsidRDefault="007C1663" w:rsidP="007C1663">
      <w:pPr>
        <w:rPr>
          <w:rFonts w:ascii="Arial" w:hAnsi="Arial" w:cs="Arial"/>
          <w:sz w:val="22"/>
          <w:szCs w:val="22"/>
        </w:rPr>
      </w:pPr>
      <w:r w:rsidRPr="00872122">
        <w:rPr>
          <w:rFonts w:ascii="Arial" w:hAnsi="Arial"/>
          <w:sz w:val="22"/>
          <w:szCs w:val="22"/>
        </w:rPr>
        <w:br/>
        <w:t>Otro producto químico encontrado, solo en muestras del subsuelo, el tricloroetileno (TCE), se utiliza principalmente como agente desengrasante en diversos procesos industriales. La Región 9 de USEPA ha identificado riesgos de cáncer y no cancerosos basados en la exposición al TCE en el aire interior. Una población vulnerable específica son las mujeres en el primer trimestre del embarazo, debido al potencial de causar defectos cardíacos en el feto en desarrollo. La exposición a largo plazo puede conducir a un mayor riesgo de cáncer de riñón u otros tipos de cáncer. Los niveles de TCE detectados en el aire de interiores dentro del edificio ubicado en esta dirección exceden la categoría de respuesta urgente de USEPA. </w:t>
      </w:r>
    </w:p>
    <w:p w14:paraId="4FC6362C" w14:textId="0467EDAD" w:rsidR="007C1663" w:rsidRPr="00872122" w:rsidRDefault="007C1663" w:rsidP="007C1663">
      <w:pPr>
        <w:rPr>
          <w:rFonts w:ascii="Lato" w:eastAsia="Calibri" w:hAnsi="Lato" w:cs="Calibri"/>
          <w:sz w:val="22"/>
          <w:szCs w:val="22"/>
          <w14:ligatures w14:val="standardContextual"/>
        </w:rPr>
      </w:pPr>
      <w:r w:rsidRPr="00872122">
        <w:rPr>
          <w:rFonts w:ascii="Arial" w:hAnsi="Arial"/>
          <w:sz w:val="22"/>
          <w:szCs w:val="22"/>
        </w:rPr>
        <w:br/>
        <w:t>Las medidas para reducir el riesgo de respirar PCE y TCE podrían incluir una mayor ventilación, sellado de aberturas en el suelo, tratamiento del aire interior o reubicación temporal. Los niveles detectados en el lugar pueden representar un riesgo para algunas personas en esta propiedad y las propiedades adyacentes; sin embargo, no es probable que representen un riesgo para los vecindarios circundantes o el público en general.</w:t>
      </w:r>
      <w:r w:rsidRPr="00872122">
        <w:rPr>
          <w:rFonts w:ascii="Arial" w:hAnsi="Arial"/>
          <w:sz w:val="22"/>
          <w:szCs w:val="22"/>
        </w:rPr>
        <w:br/>
        <w:t> </w:t>
      </w:r>
      <w:r w:rsidRPr="00872122">
        <w:rPr>
          <w:rFonts w:ascii="Arial" w:hAnsi="Arial"/>
          <w:sz w:val="22"/>
          <w:szCs w:val="22"/>
        </w:rPr>
        <w:br/>
        <w:t xml:space="preserve">La HCA es responsable de proporcionar esta información a los medios de comunicación locales de conformidad con la sección 25180.7(d) del Código de Salud y Seguridad de California. La intención de la Proposición 65 - Ley sobre aguas potables seguras y tóxicos de 1986 es proteger al público y sus recursos de agua potable e informar al público sobre posibles exposiciones a productos químicos. </w:t>
      </w:r>
      <w:r w:rsidRPr="00872122">
        <w:rPr>
          <w:rFonts w:ascii="Arial" w:hAnsi="Arial"/>
          <w:sz w:val="22"/>
          <w:szCs w:val="22"/>
        </w:rPr>
        <w:br/>
        <w:t> </w:t>
      </w:r>
      <w:r w:rsidRPr="00872122">
        <w:rPr>
          <w:rFonts w:ascii="Arial" w:hAnsi="Arial"/>
          <w:sz w:val="22"/>
          <w:szCs w:val="22"/>
        </w:rPr>
        <w:br/>
        <w:t xml:space="preserve">Una hoja informativa que incluye preguntas de salud frecuentes sobre el </w:t>
      </w:r>
      <w:proofErr w:type="spellStart"/>
      <w:r w:rsidRPr="00872122">
        <w:rPr>
          <w:rFonts w:ascii="Arial" w:hAnsi="Arial"/>
          <w:sz w:val="22"/>
          <w:szCs w:val="22"/>
        </w:rPr>
        <w:t>tetracloroetileno</w:t>
      </w:r>
      <w:proofErr w:type="spellEnd"/>
      <w:r w:rsidRPr="00872122">
        <w:rPr>
          <w:rFonts w:ascii="Arial" w:hAnsi="Arial"/>
          <w:sz w:val="22"/>
          <w:szCs w:val="22"/>
        </w:rPr>
        <w:t xml:space="preserve"> y el tricloroetileno del Departamento de Salud y Servicios Humanos de los Estados Unidos está disponible en</w:t>
      </w:r>
      <w:r w:rsidRPr="00872122">
        <w:rPr>
          <w:rFonts w:ascii="Lato" w:hAnsi="Lato"/>
          <w:color w:val="556575"/>
          <w:sz w:val="22"/>
          <w:szCs w:val="22"/>
          <w:shd w:val="clear" w:color="auto" w:fill="FFFFFF"/>
        </w:rPr>
        <w:t xml:space="preserve"> </w:t>
      </w:r>
      <w:hyperlink r:id="rId12" w:history="1">
        <w:r w:rsidRPr="00872122">
          <w:rPr>
            <w:rFonts w:ascii="Arial" w:hAnsi="Arial"/>
            <w:color w:val="0563C1"/>
            <w:sz w:val="22"/>
            <w:szCs w:val="22"/>
            <w:u w:val="single"/>
          </w:rPr>
          <w:t>Preguntas frecuentes sobre el tetracloroetileno de ATSDR (cdc.gov)</w:t>
        </w:r>
      </w:hyperlink>
      <w:r w:rsidR="00856E7C">
        <w:rPr>
          <w:rFonts w:ascii="Arial" w:hAnsi="Arial"/>
          <w:sz w:val="22"/>
          <w:szCs w:val="22"/>
        </w:rPr>
        <w:t xml:space="preserve"> </w:t>
      </w:r>
      <w:r w:rsidRPr="00872122">
        <w:rPr>
          <w:rFonts w:ascii="Arial" w:hAnsi="Arial"/>
          <w:sz w:val="22"/>
          <w:szCs w:val="22"/>
        </w:rPr>
        <w:t>y</w:t>
      </w:r>
      <w:r w:rsidR="00856E7C">
        <w:rPr>
          <w:rFonts w:ascii="Arial" w:hAnsi="Arial"/>
          <w:sz w:val="22"/>
          <w:szCs w:val="22"/>
        </w:rPr>
        <w:t xml:space="preserve"> </w:t>
      </w:r>
      <w:hyperlink r:id="rId13" w:history="1">
        <w:r w:rsidRPr="00872122">
          <w:rPr>
            <w:rFonts w:ascii="Arial" w:hAnsi="Arial"/>
            <w:color w:val="0563C1"/>
            <w:sz w:val="22"/>
            <w:szCs w:val="22"/>
            <w:u w:val="single"/>
          </w:rPr>
          <w:t>Preguntas frecuentes sobre el tricloroetileno de ATSDR (cdc.gov)</w:t>
        </w:r>
      </w:hyperlink>
      <w:r w:rsidRPr="00872122">
        <w:rPr>
          <w:rFonts w:ascii="Lato" w:hAnsi="Lato"/>
          <w:color w:val="556575"/>
          <w:sz w:val="22"/>
          <w:szCs w:val="22"/>
          <w:shd w:val="clear" w:color="auto" w:fill="FFFFFF"/>
        </w:rPr>
        <w:t xml:space="preserve">, </w:t>
      </w:r>
      <w:r w:rsidRPr="00872122">
        <w:rPr>
          <w:rFonts w:ascii="Arial" w:hAnsi="Arial"/>
          <w:sz w:val="22"/>
          <w:szCs w:val="22"/>
        </w:rPr>
        <w:t>respectivamente.</w:t>
      </w:r>
      <w:r w:rsidRPr="00872122">
        <w:rPr>
          <w:rFonts w:ascii="Arial" w:hAnsi="Arial"/>
          <w:sz w:val="22"/>
          <w:szCs w:val="22"/>
        </w:rPr>
        <w:br/>
        <w:t> </w:t>
      </w:r>
      <w:r w:rsidRPr="00872122">
        <w:rPr>
          <w:rFonts w:ascii="Arial" w:hAnsi="Arial"/>
          <w:sz w:val="22"/>
          <w:szCs w:val="22"/>
        </w:rPr>
        <w:br/>
        <w:t>Puede encontrar más información sobre este sitio y la toma de muestras relacionada en</w:t>
      </w:r>
      <w:r w:rsidRPr="00872122">
        <w:rPr>
          <w:rFonts w:ascii="Lato" w:hAnsi="Lato"/>
          <w:color w:val="556575"/>
          <w:sz w:val="22"/>
          <w:szCs w:val="22"/>
          <w:shd w:val="clear" w:color="auto" w:fill="FFFFFF"/>
        </w:rPr>
        <w:t xml:space="preserve"> </w:t>
      </w:r>
      <w:hyperlink r:id="rId14" w:history="1">
        <w:r w:rsidRPr="00872122">
          <w:rPr>
            <w:rFonts w:ascii="Arial" w:hAnsi="Arial"/>
            <w:color w:val="0563C1"/>
            <w:sz w:val="22"/>
            <w:szCs w:val="22"/>
            <w:u w:val="single"/>
            <w:shd w:val="clear" w:color="auto" w:fill="FFFFFF"/>
          </w:rPr>
          <w:t>https://geotracker.waterboards.ca.gov/?surl=l8sqq</w:t>
        </w:r>
      </w:hyperlink>
      <w:r w:rsidRPr="00872122">
        <w:rPr>
          <w:rFonts w:ascii="Lato" w:hAnsi="Lato"/>
          <w:color w:val="556575"/>
          <w:sz w:val="22"/>
          <w:szCs w:val="22"/>
          <w:shd w:val="clear" w:color="auto" w:fill="FFFFFF"/>
        </w:rPr>
        <w:t xml:space="preserve">. </w:t>
      </w:r>
      <w:r w:rsidRPr="00872122">
        <w:rPr>
          <w:rFonts w:ascii="Arial" w:hAnsi="Arial"/>
          <w:sz w:val="22"/>
          <w:szCs w:val="22"/>
        </w:rPr>
        <w:t>Si tiene alguna pregunta, puede ponerse en contacto con Chris Carson, Gerente del Proyecto – Grupo de Soluciones Ambientales (</w:t>
      </w:r>
      <w:proofErr w:type="spellStart"/>
      <w:r w:rsidRPr="00872122">
        <w:rPr>
          <w:rFonts w:ascii="Arial" w:hAnsi="Arial"/>
          <w:sz w:val="22"/>
          <w:szCs w:val="22"/>
        </w:rPr>
        <w:t>Environmental</w:t>
      </w:r>
      <w:proofErr w:type="spellEnd"/>
      <w:r w:rsidRPr="00872122">
        <w:rPr>
          <w:rFonts w:ascii="Arial" w:hAnsi="Arial"/>
          <w:sz w:val="22"/>
          <w:szCs w:val="22"/>
        </w:rPr>
        <w:t xml:space="preserve"> </w:t>
      </w:r>
      <w:proofErr w:type="spellStart"/>
      <w:r w:rsidRPr="00872122">
        <w:rPr>
          <w:rFonts w:ascii="Arial" w:hAnsi="Arial"/>
          <w:sz w:val="22"/>
          <w:szCs w:val="22"/>
        </w:rPr>
        <w:t>Solutions</w:t>
      </w:r>
      <w:proofErr w:type="spellEnd"/>
      <w:r w:rsidRPr="00872122">
        <w:rPr>
          <w:rFonts w:ascii="Arial" w:hAnsi="Arial"/>
          <w:sz w:val="22"/>
          <w:szCs w:val="22"/>
        </w:rPr>
        <w:t xml:space="preserve"> </w:t>
      </w:r>
      <w:proofErr w:type="spellStart"/>
      <w:r w:rsidRPr="00872122">
        <w:rPr>
          <w:rFonts w:ascii="Arial" w:hAnsi="Arial"/>
          <w:sz w:val="22"/>
          <w:szCs w:val="22"/>
        </w:rPr>
        <w:t>Group</w:t>
      </w:r>
      <w:proofErr w:type="spellEnd"/>
      <w:r w:rsidRPr="00872122">
        <w:rPr>
          <w:rFonts w:ascii="Arial" w:hAnsi="Arial"/>
          <w:sz w:val="22"/>
          <w:szCs w:val="22"/>
        </w:rPr>
        <w:t>) al (714) 244-3662 o</w:t>
      </w:r>
      <w:r w:rsidRPr="00872122">
        <w:rPr>
          <w:rFonts w:ascii="Lato" w:hAnsi="Lato"/>
          <w:color w:val="7F7F7F"/>
          <w:sz w:val="22"/>
          <w:szCs w:val="22"/>
          <w:shd w:val="clear" w:color="auto" w:fill="FFFFFF"/>
        </w:rPr>
        <w:t xml:space="preserve"> </w:t>
      </w:r>
      <w:hyperlink r:id="rId15" w:history="1">
        <w:r w:rsidRPr="00872122">
          <w:rPr>
            <w:rFonts w:ascii="Arial" w:hAnsi="Arial"/>
            <w:color w:val="0563C1"/>
            <w:sz w:val="22"/>
            <w:szCs w:val="22"/>
            <w:u w:val="single"/>
          </w:rPr>
          <w:t>ccarson@partneresi.com</w:t>
        </w:r>
      </w:hyperlink>
      <w:r w:rsidR="00872122" w:rsidRPr="00872122">
        <w:rPr>
          <w:rFonts w:ascii="Arial" w:hAnsi="Arial"/>
          <w:sz w:val="22"/>
          <w:szCs w:val="22"/>
        </w:rPr>
        <w:t>, o</w:t>
      </w:r>
      <w:r w:rsidRPr="00872122">
        <w:rPr>
          <w:rFonts w:ascii="Arial" w:hAnsi="Arial"/>
          <w:sz w:val="22"/>
          <w:szCs w:val="22"/>
        </w:rPr>
        <w:t xml:space="preserve"> </w:t>
      </w:r>
      <w:proofErr w:type="spellStart"/>
      <w:r w:rsidRPr="00872122">
        <w:rPr>
          <w:rFonts w:ascii="Arial" w:hAnsi="Arial"/>
          <w:sz w:val="22"/>
          <w:szCs w:val="22"/>
        </w:rPr>
        <w:t>Geniece</w:t>
      </w:r>
      <w:proofErr w:type="spellEnd"/>
      <w:r w:rsidRPr="00872122">
        <w:rPr>
          <w:rFonts w:ascii="Arial" w:hAnsi="Arial"/>
          <w:sz w:val="22"/>
          <w:szCs w:val="22"/>
        </w:rPr>
        <w:t xml:space="preserve"> Higgins, Especialista en Supervisión de Materiales Peligrosos al (714) 433-6260 o</w:t>
      </w:r>
      <w:r w:rsidRPr="00872122">
        <w:rPr>
          <w:rFonts w:ascii="Lato" w:hAnsi="Lato"/>
          <w:color w:val="556575"/>
          <w:sz w:val="22"/>
          <w:szCs w:val="22"/>
          <w:shd w:val="clear" w:color="auto" w:fill="FFFFFF"/>
        </w:rPr>
        <w:t xml:space="preserve"> </w:t>
      </w:r>
      <w:hyperlink r:id="rId16" w:history="1">
        <w:r w:rsidRPr="00872122">
          <w:rPr>
            <w:rFonts w:ascii="Arial" w:hAnsi="Arial"/>
            <w:color w:val="0563C1"/>
            <w:sz w:val="22"/>
            <w:szCs w:val="22"/>
            <w:u w:val="single"/>
            <w:shd w:val="clear" w:color="auto" w:fill="FFFFFF"/>
          </w:rPr>
          <w:t>ghiggins@ochca.com</w:t>
        </w:r>
      </w:hyperlink>
      <w:r w:rsidRPr="00872122">
        <w:rPr>
          <w:rFonts w:ascii="Arial" w:hAnsi="Arial"/>
          <w:color w:val="556575"/>
          <w:sz w:val="22"/>
          <w:szCs w:val="22"/>
          <w:shd w:val="clear" w:color="auto" w:fill="FFFFFF"/>
        </w:rPr>
        <w:t>.</w:t>
      </w:r>
      <w:r w:rsidR="00856E7C">
        <w:rPr>
          <w:rFonts w:ascii="Lato" w:hAnsi="Lato"/>
          <w:color w:val="556575"/>
          <w:sz w:val="22"/>
          <w:szCs w:val="22"/>
          <w:shd w:val="clear" w:color="auto" w:fill="FFFFFF"/>
        </w:rPr>
        <w:t xml:space="preserve"> </w:t>
      </w:r>
    </w:p>
    <w:p w14:paraId="01A0EC7C" w14:textId="02191BD1" w:rsidR="002F412E" w:rsidRPr="00872122" w:rsidRDefault="002F412E" w:rsidP="0023398E">
      <w:pPr>
        <w:spacing w:line="360" w:lineRule="auto"/>
        <w:ind w:left="187"/>
        <w:rPr>
          <w:rFonts w:ascii="Arial" w:hAnsi="Arial" w:cs="Arial"/>
          <w:sz w:val="22"/>
          <w:szCs w:val="22"/>
        </w:rPr>
      </w:pPr>
    </w:p>
    <w:p w14:paraId="77B8DBC4" w14:textId="2E023DE8" w:rsidR="001A6424" w:rsidRPr="00D537E9" w:rsidRDefault="002F412E" w:rsidP="002F412E">
      <w:pPr>
        <w:jc w:val="center"/>
        <w:rPr>
          <w:rFonts w:ascii="Arial" w:eastAsia="Arial" w:hAnsi="Arial" w:cs="Arial"/>
          <w:sz w:val="22"/>
          <w:szCs w:val="22"/>
        </w:rPr>
      </w:pPr>
      <w:r w:rsidRPr="00872122">
        <w:rPr>
          <w:sz w:val="22"/>
          <w:szCs w:val="22"/>
        </w:rPr>
        <w:t># # #</w:t>
      </w:r>
    </w:p>
    <w:sectPr w:rsidR="001A6424" w:rsidRPr="00D537E9">
      <w:pgSz w:w="12240" w:h="15840"/>
      <w:pgMar w:top="360" w:right="547" w:bottom="360" w:left="547"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7C305" w14:textId="77777777" w:rsidR="000B062A" w:rsidRDefault="000B062A">
      <w:r>
        <w:separator/>
      </w:r>
    </w:p>
  </w:endnote>
  <w:endnote w:type="continuationSeparator" w:id="0">
    <w:p w14:paraId="5542588C" w14:textId="77777777" w:rsidR="000B062A" w:rsidRDefault="000B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B949A" w14:textId="77777777" w:rsidR="000B062A" w:rsidRDefault="000B062A">
      <w:r>
        <w:separator/>
      </w:r>
    </w:p>
  </w:footnote>
  <w:footnote w:type="continuationSeparator" w:id="0">
    <w:p w14:paraId="76C0E26B" w14:textId="77777777" w:rsidR="000B062A" w:rsidRDefault="000B0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64D"/>
    <w:multiLevelType w:val="hybridMultilevel"/>
    <w:tmpl w:val="0FB0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2496F"/>
    <w:multiLevelType w:val="hybridMultilevel"/>
    <w:tmpl w:val="F5148C2A"/>
    <w:lvl w:ilvl="0" w:tplc="9F10D9FC">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D2F53"/>
    <w:multiLevelType w:val="hybridMultilevel"/>
    <w:tmpl w:val="62141916"/>
    <w:styleLink w:val="ImportedStyle1"/>
    <w:lvl w:ilvl="0" w:tplc="B06A46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A092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B2EB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C6AE3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1A9D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C86C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2282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BCF3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A00E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087159"/>
    <w:multiLevelType w:val="hybridMultilevel"/>
    <w:tmpl w:val="648A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5F6C21"/>
    <w:multiLevelType w:val="hybridMultilevel"/>
    <w:tmpl w:val="0896AAF4"/>
    <w:lvl w:ilvl="0" w:tplc="9F10D9FC">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C419D7"/>
    <w:multiLevelType w:val="hybridMultilevel"/>
    <w:tmpl w:val="EEBC2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04201D"/>
    <w:multiLevelType w:val="hybridMultilevel"/>
    <w:tmpl w:val="62141916"/>
    <w:numStyleLink w:val="ImportedStyle1"/>
  </w:abstractNum>
  <w:abstractNum w:abstractNumId="7" w15:restartNumberingAfterBreak="0">
    <w:nsid w:val="4FB060AE"/>
    <w:multiLevelType w:val="hybridMultilevel"/>
    <w:tmpl w:val="9A80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00831"/>
    <w:multiLevelType w:val="hybridMultilevel"/>
    <w:tmpl w:val="C6A0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71076"/>
    <w:multiLevelType w:val="hybridMultilevel"/>
    <w:tmpl w:val="9CE6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D617E"/>
    <w:multiLevelType w:val="hybridMultilevel"/>
    <w:tmpl w:val="EFA4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376205">
    <w:abstractNumId w:val="2"/>
  </w:num>
  <w:num w:numId="2" w16cid:durableId="621572657">
    <w:abstractNumId w:val="6"/>
  </w:num>
  <w:num w:numId="3" w16cid:durableId="1434671620">
    <w:abstractNumId w:val="9"/>
  </w:num>
  <w:num w:numId="4" w16cid:durableId="831062743">
    <w:abstractNumId w:val="3"/>
  </w:num>
  <w:num w:numId="5" w16cid:durableId="1423187733">
    <w:abstractNumId w:val="5"/>
  </w:num>
  <w:num w:numId="6" w16cid:durableId="586116921">
    <w:abstractNumId w:val="0"/>
  </w:num>
  <w:num w:numId="7" w16cid:durableId="371154872">
    <w:abstractNumId w:val="10"/>
  </w:num>
  <w:num w:numId="8" w16cid:durableId="934091585">
    <w:abstractNumId w:val="8"/>
  </w:num>
  <w:num w:numId="9" w16cid:durableId="430778695">
    <w:abstractNumId w:val="7"/>
  </w:num>
  <w:num w:numId="10" w16cid:durableId="1167675601">
    <w:abstractNumId w:val="1"/>
  </w:num>
  <w:num w:numId="11" w16cid:durableId="91707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05"/>
    <w:rsid w:val="00093D83"/>
    <w:rsid w:val="000B062A"/>
    <w:rsid w:val="000B0A3B"/>
    <w:rsid w:val="000E6367"/>
    <w:rsid w:val="00117DAA"/>
    <w:rsid w:val="0013110B"/>
    <w:rsid w:val="00136F6C"/>
    <w:rsid w:val="00141D93"/>
    <w:rsid w:val="001639FF"/>
    <w:rsid w:val="001743AD"/>
    <w:rsid w:val="00187A5B"/>
    <w:rsid w:val="0019078C"/>
    <w:rsid w:val="001A6424"/>
    <w:rsid w:val="001C14D5"/>
    <w:rsid w:val="001D67C5"/>
    <w:rsid w:val="001F1729"/>
    <w:rsid w:val="001F2DF2"/>
    <w:rsid w:val="00206ADC"/>
    <w:rsid w:val="0023272F"/>
    <w:rsid w:val="0023398E"/>
    <w:rsid w:val="00242216"/>
    <w:rsid w:val="002951BE"/>
    <w:rsid w:val="002C5DB2"/>
    <w:rsid w:val="002C7DE5"/>
    <w:rsid w:val="002F34A2"/>
    <w:rsid w:val="002F412E"/>
    <w:rsid w:val="00301AB9"/>
    <w:rsid w:val="0031047F"/>
    <w:rsid w:val="003117A7"/>
    <w:rsid w:val="00316005"/>
    <w:rsid w:val="00344DF5"/>
    <w:rsid w:val="00376578"/>
    <w:rsid w:val="003A1FD6"/>
    <w:rsid w:val="003C498E"/>
    <w:rsid w:val="003C6967"/>
    <w:rsid w:val="003D0F81"/>
    <w:rsid w:val="003E5330"/>
    <w:rsid w:val="00420C5E"/>
    <w:rsid w:val="00442098"/>
    <w:rsid w:val="0046441C"/>
    <w:rsid w:val="00491360"/>
    <w:rsid w:val="004A4142"/>
    <w:rsid w:val="004D1229"/>
    <w:rsid w:val="00544280"/>
    <w:rsid w:val="00546F53"/>
    <w:rsid w:val="0055072A"/>
    <w:rsid w:val="005808B7"/>
    <w:rsid w:val="00586DCB"/>
    <w:rsid w:val="005D4687"/>
    <w:rsid w:val="005F3835"/>
    <w:rsid w:val="005F5280"/>
    <w:rsid w:val="00616997"/>
    <w:rsid w:val="00635AD2"/>
    <w:rsid w:val="00643555"/>
    <w:rsid w:val="0065059A"/>
    <w:rsid w:val="0065427A"/>
    <w:rsid w:val="006A314C"/>
    <w:rsid w:val="006B6806"/>
    <w:rsid w:val="006D32E0"/>
    <w:rsid w:val="00701673"/>
    <w:rsid w:val="007A2410"/>
    <w:rsid w:val="007C1663"/>
    <w:rsid w:val="007C6C49"/>
    <w:rsid w:val="007D1B51"/>
    <w:rsid w:val="007E10D7"/>
    <w:rsid w:val="0080088A"/>
    <w:rsid w:val="00821F79"/>
    <w:rsid w:val="00850FFB"/>
    <w:rsid w:val="00856E7C"/>
    <w:rsid w:val="00872122"/>
    <w:rsid w:val="00880BCF"/>
    <w:rsid w:val="008864BA"/>
    <w:rsid w:val="008B5F66"/>
    <w:rsid w:val="008B6323"/>
    <w:rsid w:val="008C2F8E"/>
    <w:rsid w:val="00941795"/>
    <w:rsid w:val="009866EA"/>
    <w:rsid w:val="00986B43"/>
    <w:rsid w:val="009913D4"/>
    <w:rsid w:val="009B5DED"/>
    <w:rsid w:val="00A305AF"/>
    <w:rsid w:val="00A31167"/>
    <w:rsid w:val="00A4120D"/>
    <w:rsid w:val="00A515A5"/>
    <w:rsid w:val="00A66616"/>
    <w:rsid w:val="00A77956"/>
    <w:rsid w:val="00A87BEA"/>
    <w:rsid w:val="00AA409E"/>
    <w:rsid w:val="00AA4FA7"/>
    <w:rsid w:val="00AE03C3"/>
    <w:rsid w:val="00AE0715"/>
    <w:rsid w:val="00AF3915"/>
    <w:rsid w:val="00B456BF"/>
    <w:rsid w:val="00B509D3"/>
    <w:rsid w:val="00B82562"/>
    <w:rsid w:val="00B96498"/>
    <w:rsid w:val="00C57C20"/>
    <w:rsid w:val="00C63749"/>
    <w:rsid w:val="00CA6245"/>
    <w:rsid w:val="00CB491D"/>
    <w:rsid w:val="00CC4EDE"/>
    <w:rsid w:val="00D06A12"/>
    <w:rsid w:val="00D30420"/>
    <w:rsid w:val="00D537E9"/>
    <w:rsid w:val="00D63A90"/>
    <w:rsid w:val="00D804B0"/>
    <w:rsid w:val="00DA28F4"/>
    <w:rsid w:val="00DA6552"/>
    <w:rsid w:val="00DF5A16"/>
    <w:rsid w:val="00E03F25"/>
    <w:rsid w:val="00E63CC9"/>
    <w:rsid w:val="00E7489F"/>
    <w:rsid w:val="00E95187"/>
    <w:rsid w:val="00EA13A1"/>
    <w:rsid w:val="00EA6911"/>
    <w:rsid w:val="00EE2533"/>
    <w:rsid w:val="00F00AB9"/>
    <w:rsid w:val="00F01F55"/>
    <w:rsid w:val="00F312C7"/>
    <w:rsid w:val="00F41C67"/>
    <w:rsid w:val="00F718AD"/>
    <w:rsid w:val="00FA7F76"/>
    <w:rsid w:val="00FC0544"/>
    <w:rsid w:val="00FD761E"/>
    <w:rsid w:val="00FF2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B0B4"/>
  <w15:docId w15:val="{B82E1BB9-1463-4DD6-BD81-2B506A65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A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customStyle="1" w:styleId="BodyA">
    <w:name w:val="Body A"/>
    <w:rPr>
      <w:rFonts w:ascii="Helvetica" w:eastAsia="Helvetica" w:hAnsi="Helvetica" w:cs="Helvetica"/>
      <w:color w:val="000000"/>
      <w:sz w:val="22"/>
      <w:szCs w:val="22"/>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6D32E0"/>
    <w:rPr>
      <w:rFonts w:ascii="Tahoma" w:hAnsi="Tahoma" w:cs="Tahoma"/>
      <w:sz w:val="16"/>
      <w:szCs w:val="16"/>
    </w:rPr>
  </w:style>
  <w:style w:type="character" w:customStyle="1" w:styleId="BalloonTextChar">
    <w:name w:val="Balloon Text Char"/>
    <w:basedOn w:val="DefaultParagraphFont"/>
    <w:link w:val="BalloonText"/>
    <w:uiPriority w:val="99"/>
    <w:semiHidden/>
    <w:rsid w:val="006D32E0"/>
    <w:rPr>
      <w:rFonts w:ascii="Tahoma" w:hAnsi="Tahoma" w:cs="Tahoma"/>
      <w:sz w:val="16"/>
      <w:szCs w:val="16"/>
    </w:rPr>
  </w:style>
  <w:style w:type="paragraph" w:styleId="ListParagraph">
    <w:name w:val="List Paragraph"/>
    <w:basedOn w:val="Normal"/>
    <w:uiPriority w:val="34"/>
    <w:qFormat/>
    <w:rsid w:val="003117A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sz w:val="22"/>
      <w:szCs w:val="22"/>
      <w:bdr w:val="none" w:sz="0" w:space="0" w:color="auto"/>
    </w:rPr>
  </w:style>
  <w:style w:type="paragraph" w:customStyle="1" w:styleId="Default">
    <w:name w:val="Default"/>
    <w:rsid w:val="00B509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BodyText">
    <w:name w:val="Body Text"/>
    <w:basedOn w:val="Normal"/>
    <w:link w:val="BodyTextChar"/>
    <w:semiHidden/>
    <w:unhideWhenUsed/>
    <w:rsid w:val="005F383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2"/>
      <w:szCs w:val="20"/>
      <w:bdr w:val="none" w:sz="0" w:space="0" w:color="auto"/>
      <w:lang w:eastAsia="x-none"/>
    </w:rPr>
  </w:style>
  <w:style w:type="character" w:customStyle="1" w:styleId="BodyTextChar">
    <w:name w:val="Body Text Char"/>
    <w:basedOn w:val="DefaultParagraphFont"/>
    <w:link w:val="BodyText"/>
    <w:semiHidden/>
    <w:rsid w:val="005F3835"/>
    <w:rPr>
      <w:rFonts w:eastAsia="Times New Roman"/>
      <w:sz w:val="22"/>
      <w:bdr w:val="none" w:sz="0" w:space="0" w:color="auto"/>
      <w:lang w:val="es-AR" w:eastAsia="x-none"/>
    </w:rPr>
  </w:style>
  <w:style w:type="paragraph" w:styleId="PlainText">
    <w:name w:val="Plain Text"/>
    <w:basedOn w:val="Normal"/>
    <w:link w:val="PlainTextChar"/>
    <w:uiPriority w:val="99"/>
    <w:unhideWhenUsed/>
    <w:rsid w:val="008C2F8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rPr>
  </w:style>
  <w:style w:type="character" w:customStyle="1" w:styleId="PlainTextChar">
    <w:name w:val="Plain Text Char"/>
    <w:basedOn w:val="DefaultParagraphFont"/>
    <w:link w:val="PlainText"/>
    <w:uiPriority w:val="99"/>
    <w:rsid w:val="008C2F8E"/>
    <w:rPr>
      <w:rFonts w:ascii="Calibri" w:eastAsia="Calibri" w:hAnsi="Calibri" w:cs="Consolas"/>
      <w:sz w:val="22"/>
      <w:szCs w:val="21"/>
      <w:bdr w:val="none" w:sz="0" w:space="0" w:color="auto"/>
    </w:rPr>
  </w:style>
  <w:style w:type="character" w:styleId="FollowedHyperlink">
    <w:name w:val="FollowedHyperlink"/>
    <w:basedOn w:val="DefaultParagraphFont"/>
    <w:uiPriority w:val="99"/>
    <w:semiHidden/>
    <w:unhideWhenUsed/>
    <w:rsid w:val="00E63CC9"/>
    <w:rPr>
      <w:color w:val="FF00FF" w:themeColor="followedHyperlink"/>
      <w:u w:val="single"/>
    </w:rPr>
  </w:style>
  <w:style w:type="character" w:customStyle="1" w:styleId="large">
    <w:name w:val="large"/>
    <w:basedOn w:val="DefaultParagraphFont"/>
    <w:rsid w:val="00850FFB"/>
  </w:style>
  <w:style w:type="character" w:customStyle="1" w:styleId="apple-converted-space">
    <w:name w:val="apple-converted-space"/>
    <w:basedOn w:val="DefaultParagraphFont"/>
    <w:rsid w:val="00850FFB"/>
  </w:style>
  <w:style w:type="character" w:styleId="CommentReference">
    <w:name w:val="annotation reference"/>
    <w:basedOn w:val="DefaultParagraphFont"/>
    <w:uiPriority w:val="99"/>
    <w:semiHidden/>
    <w:unhideWhenUsed/>
    <w:rsid w:val="00F41C67"/>
    <w:rPr>
      <w:sz w:val="16"/>
      <w:szCs w:val="16"/>
    </w:rPr>
  </w:style>
  <w:style w:type="paragraph" w:styleId="CommentText">
    <w:name w:val="annotation text"/>
    <w:basedOn w:val="Normal"/>
    <w:link w:val="CommentTextChar"/>
    <w:uiPriority w:val="99"/>
    <w:semiHidden/>
    <w:unhideWhenUsed/>
    <w:rsid w:val="00F41C67"/>
    <w:rPr>
      <w:sz w:val="20"/>
      <w:szCs w:val="20"/>
    </w:rPr>
  </w:style>
  <w:style w:type="character" w:customStyle="1" w:styleId="CommentTextChar">
    <w:name w:val="Comment Text Char"/>
    <w:basedOn w:val="DefaultParagraphFont"/>
    <w:link w:val="CommentText"/>
    <w:uiPriority w:val="99"/>
    <w:semiHidden/>
    <w:rsid w:val="00F41C67"/>
  </w:style>
  <w:style w:type="paragraph" w:styleId="CommentSubject">
    <w:name w:val="annotation subject"/>
    <w:basedOn w:val="CommentText"/>
    <w:next w:val="CommentText"/>
    <w:link w:val="CommentSubjectChar"/>
    <w:uiPriority w:val="99"/>
    <w:semiHidden/>
    <w:unhideWhenUsed/>
    <w:rsid w:val="00F41C67"/>
    <w:rPr>
      <w:b/>
      <w:bCs/>
    </w:rPr>
  </w:style>
  <w:style w:type="character" w:customStyle="1" w:styleId="CommentSubjectChar">
    <w:name w:val="Comment Subject Char"/>
    <w:basedOn w:val="CommentTextChar"/>
    <w:link w:val="CommentSubject"/>
    <w:uiPriority w:val="99"/>
    <w:semiHidden/>
    <w:rsid w:val="00F41C67"/>
    <w:rPr>
      <w:b/>
      <w:bCs/>
    </w:rPr>
  </w:style>
  <w:style w:type="paragraph" w:styleId="BodyTextIndent3">
    <w:name w:val="Body Text Indent 3"/>
    <w:basedOn w:val="Normal"/>
    <w:link w:val="BodyTextIndent3Char"/>
    <w:uiPriority w:val="99"/>
    <w:unhideWhenUsed/>
    <w:rsid w:val="002F412E"/>
    <w:pPr>
      <w:spacing w:after="120"/>
      <w:ind w:left="360"/>
    </w:pPr>
    <w:rPr>
      <w:sz w:val="16"/>
      <w:szCs w:val="16"/>
    </w:rPr>
  </w:style>
  <w:style w:type="character" w:customStyle="1" w:styleId="BodyTextIndent3Char">
    <w:name w:val="Body Text Indent 3 Char"/>
    <w:basedOn w:val="DefaultParagraphFont"/>
    <w:link w:val="BodyTextIndent3"/>
    <w:uiPriority w:val="99"/>
    <w:rsid w:val="002F412E"/>
    <w:rPr>
      <w:sz w:val="16"/>
      <w:szCs w:val="16"/>
    </w:rPr>
  </w:style>
  <w:style w:type="paragraph" w:styleId="BodyTextIndent2">
    <w:name w:val="Body Text Indent 2"/>
    <w:basedOn w:val="Normal"/>
    <w:link w:val="BodyTextIndent2Char"/>
    <w:rsid w:val="002F412E"/>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bdr w:val="none" w:sz="0" w:space="0" w:color="auto"/>
      <w:lang w:eastAsia="x-none"/>
    </w:rPr>
  </w:style>
  <w:style w:type="character" w:customStyle="1" w:styleId="BodyTextIndent2Char">
    <w:name w:val="Body Text Indent 2 Char"/>
    <w:basedOn w:val="DefaultParagraphFont"/>
    <w:link w:val="BodyTextIndent2"/>
    <w:rsid w:val="002F412E"/>
    <w:rPr>
      <w:rFonts w:eastAsia="Times New Roman"/>
      <w:sz w:val="24"/>
      <w:szCs w:val="24"/>
      <w:bdr w:val="none" w:sz="0" w:space="0" w:color="auto"/>
      <w:lang w:val="es-A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4367">
      <w:bodyDiv w:val="1"/>
      <w:marLeft w:val="0"/>
      <w:marRight w:val="0"/>
      <w:marTop w:val="0"/>
      <w:marBottom w:val="0"/>
      <w:divBdr>
        <w:top w:val="none" w:sz="0" w:space="0" w:color="auto"/>
        <w:left w:val="none" w:sz="0" w:space="0" w:color="auto"/>
        <w:bottom w:val="none" w:sz="0" w:space="0" w:color="auto"/>
        <w:right w:val="none" w:sz="0" w:space="0" w:color="auto"/>
      </w:divBdr>
    </w:div>
    <w:div w:id="403258639">
      <w:bodyDiv w:val="1"/>
      <w:marLeft w:val="0"/>
      <w:marRight w:val="0"/>
      <w:marTop w:val="0"/>
      <w:marBottom w:val="0"/>
      <w:divBdr>
        <w:top w:val="none" w:sz="0" w:space="0" w:color="auto"/>
        <w:left w:val="none" w:sz="0" w:space="0" w:color="auto"/>
        <w:bottom w:val="none" w:sz="0" w:space="0" w:color="auto"/>
        <w:right w:val="none" w:sz="0" w:space="0" w:color="auto"/>
      </w:divBdr>
    </w:div>
    <w:div w:id="740562795">
      <w:bodyDiv w:val="1"/>
      <w:marLeft w:val="0"/>
      <w:marRight w:val="0"/>
      <w:marTop w:val="0"/>
      <w:marBottom w:val="0"/>
      <w:divBdr>
        <w:top w:val="none" w:sz="0" w:space="0" w:color="auto"/>
        <w:left w:val="none" w:sz="0" w:space="0" w:color="auto"/>
        <w:bottom w:val="none" w:sz="0" w:space="0" w:color="auto"/>
        <w:right w:val="none" w:sz="0" w:space="0" w:color="auto"/>
      </w:divBdr>
    </w:div>
    <w:div w:id="821967990">
      <w:bodyDiv w:val="1"/>
      <w:marLeft w:val="0"/>
      <w:marRight w:val="0"/>
      <w:marTop w:val="0"/>
      <w:marBottom w:val="0"/>
      <w:divBdr>
        <w:top w:val="none" w:sz="0" w:space="0" w:color="auto"/>
        <w:left w:val="none" w:sz="0" w:space="0" w:color="auto"/>
        <w:bottom w:val="none" w:sz="0" w:space="0" w:color="auto"/>
        <w:right w:val="none" w:sz="0" w:space="0" w:color="auto"/>
      </w:divBdr>
    </w:div>
    <w:div w:id="836308498">
      <w:bodyDiv w:val="1"/>
      <w:marLeft w:val="0"/>
      <w:marRight w:val="0"/>
      <w:marTop w:val="0"/>
      <w:marBottom w:val="0"/>
      <w:divBdr>
        <w:top w:val="none" w:sz="0" w:space="0" w:color="auto"/>
        <w:left w:val="none" w:sz="0" w:space="0" w:color="auto"/>
        <w:bottom w:val="none" w:sz="0" w:space="0" w:color="auto"/>
        <w:right w:val="none" w:sz="0" w:space="0" w:color="auto"/>
      </w:divBdr>
    </w:div>
    <w:div w:id="1212232852">
      <w:bodyDiv w:val="1"/>
      <w:marLeft w:val="0"/>
      <w:marRight w:val="0"/>
      <w:marTop w:val="0"/>
      <w:marBottom w:val="0"/>
      <w:divBdr>
        <w:top w:val="none" w:sz="0" w:space="0" w:color="auto"/>
        <w:left w:val="none" w:sz="0" w:space="0" w:color="auto"/>
        <w:bottom w:val="none" w:sz="0" w:space="0" w:color="auto"/>
        <w:right w:val="none" w:sz="0" w:space="0" w:color="auto"/>
      </w:divBdr>
    </w:div>
    <w:div w:id="1216357352">
      <w:bodyDiv w:val="1"/>
      <w:marLeft w:val="0"/>
      <w:marRight w:val="0"/>
      <w:marTop w:val="0"/>
      <w:marBottom w:val="0"/>
      <w:divBdr>
        <w:top w:val="none" w:sz="0" w:space="0" w:color="auto"/>
        <w:left w:val="none" w:sz="0" w:space="0" w:color="auto"/>
        <w:bottom w:val="none" w:sz="0" w:space="0" w:color="auto"/>
        <w:right w:val="none" w:sz="0" w:space="0" w:color="auto"/>
      </w:divBdr>
    </w:div>
    <w:div w:id="1308053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www.atsdr.cdc.gov%2Ftoxfaqs%2Ftfacts19.pdf&amp;data=05%7C02%7CLRobinson%40ochca.com%7Ccf918489f5634d3f930408dc6b9a6aef%7Ce4449a56cd3d40baae3225a63deaab3b%7C0%7C0%7C638503558165588826%7CUnknown%7CTWFpbGZsb3d8eyJWIjoiMC4wLjAwMDAiLCJQIjoiV2luMzIiLCJBTiI6Ik1haWwiLCJXVCI6Mn0%3D%7C0%7C%7C%7C&amp;sdata=IAavBKYD1r1BmlUx4okMMSZBiSmtEKpKziKYvf8Kk3g%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atsdr.cdc.gov%2Ftoxfaqs%2Ftfacts18.pdf&amp;data=05%7C02%7CLRobinson%40ochca.com%7Ccf918489f5634d3f930408dc6b9a6aef%7Ce4449a56cd3d40baae3225a63deaab3b%7C0%7C0%7C638503558165583400%7CUnknown%7CTWFpbGZsb3d8eyJWIjoiMC4wLjAwMDAiLCJQIjoiV2luMzIiLCJBTiI6Ik1haWwiLCJXVCI6Mn0%3D%7C0%7C%7C%7C&amp;sdata=Dwf73rWDg0sYbdcJV2fhpShw3%2BxFfI0FgEPQJI8vtNs%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higgins@ochc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carson@partneresi.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geotracker.waterboards.ca.gov%2F%3Fsurl%3Dl8sqq&amp;data=05%7C02%7CLRobinson%40ochca.com%7Ccf918489f5634d3f930408dc6b9a6aef%7Ce4449a56cd3d40baae3225a63deaab3b%7C0%7C0%7C638503558165594109%7CUnknown%7CTWFpbGZsb3d8eyJWIjoiMC4wLjAwMDAiLCJQIjoiV2luMzIiLCJBTiI6Ik1haWwiLCJXVCI6Mn0%3D%7C0%7C%7C%7C&amp;sdata=EsGiONHQ1qjMlJGsDs%2FWspZzZf4%2BSWa%2FL8%2B9K%2F6QFsc%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20mertz\Downloads\Press_Release_Template%20(3).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D8B93-ECD4-4D02-A634-222115140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BE00B7-3287-4CE0-815B-D4A60308DBE4}">
  <ds:schemaRefs>
    <ds:schemaRef ds:uri="http://schemas.microsoft.com/sharepoint/v3/contenttype/forms"/>
  </ds:schemaRefs>
</ds:datastoreItem>
</file>

<file path=customXml/itemProps3.xml><?xml version="1.0" encoding="utf-8"?>
<ds:datastoreItem xmlns:ds="http://schemas.openxmlformats.org/officeDocument/2006/customXml" ds:itemID="{83715687-AD90-4CD7-B78C-B8A109A6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E62D7C-4726-4647-A19F-4315997E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Press_Release_Template (3)</Template>
  <TotalTime>14</TotalTime>
  <Pages>1</Pages>
  <Words>792</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Mertz, Edward</dc:creator>
  <cp:lastModifiedBy>Martina Viegas</cp:lastModifiedBy>
  <cp:revision>5</cp:revision>
  <cp:lastPrinted>2016-09-15T22:59:00Z</cp:lastPrinted>
  <dcterms:created xsi:type="dcterms:W3CDTF">2024-05-03T21:32:00Z</dcterms:created>
  <dcterms:modified xsi:type="dcterms:W3CDTF">2024-05-06T21:50:00Z</dcterms:modified>
</cp:coreProperties>
</file>